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F6AC" w14:textId="77777777" w:rsidR="00367670" w:rsidRPr="00971E85" w:rsidRDefault="00367670" w:rsidP="00971E85">
      <w:pPr>
        <w:jc w:val="center"/>
        <w:rPr>
          <w:rFonts w:ascii="Times New Roman" w:eastAsia="Calibri" w:hAnsi="Times New Roman" w:cs="Times New Roman"/>
        </w:rPr>
      </w:pPr>
    </w:p>
    <w:p w14:paraId="260041A2" w14:textId="2E5EC705" w:rsidR="008361F4" w:rsidRPr="008361F4" w:rsidRDefault="008361F4" w:rsidP="008361F4">
      <w:pPr>
        <w:spacing w:after="200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ITT-1</w:t>
      </w:r>
      <w:r w:rsidR="00995624">
        <w:rPr>
          <w:rFonts w:ascii="Times New Roman" w:eastAsia="Calibri" w:hAnsi="Times New Roman" w:cs="Times New Roman"/>
          <w:b/>
          <w:sz w:val="36"/>
          <w:szCs w:val="36"/>
        </w:rPr>
        <w:t>21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0015FE" w:rsidRPr="000015FE">
        <w:rPr>
          <w:rFonts w:ascii="Times New Roman" w:eastAsia="Calibri" w:hAnsi="Times New Roman" w:cs="Times New Roman"/>
          <w:b/>
          <w:sz w:val="36"/>
          <w:szCs w:val="36"/>
        </w:rPr>
        <w:t>Windows Server</w:t>
      </w:r>
      <w:r w:rsidR="000015F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53437">
        <w:rPr>
          <w:rFonts w:ascii="Times New Roman" w:eastAsia="Calibri" w:hAnsi="Times New Roman" w:cs="Times New Roman"/>
          <w:b/>
          <w:sz w:val="36"/>
          <w:szCs w:val="36"/>
        </w:rPr>
        <w:t>Scoring Guide</w:t>
      </w:r>
    </w:p>
    <w:p w14:paraId="77AB41EB" w14:textId="1E2650C6" w:rsidR="00E04A04" w:rsidRPr="00D25EDF" w:rsidRDefault="00D25EDF" w:rsidP="00D25ED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5EDF">
        <w:rPr>
          <w:rFonts w:ascii="Times New Roman" w:eastAsia="Calibri" w:hAnsi="Times New Roman" w:cs="Times New Roman"/>
          <w:b/>
        </w:rPr>
        <w:t>Performance Level Ratings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7470"/>
      </w:tblGrid>
      <w:tr w:rsidR="00631539" w:rsidRPr="003076AA" w14:paraId="2EA58066" w14:textId="77777777" w:rsidTr="00417A1F">
        <w:tc>
          <w:tcPr>
            <w:tcW w:w="2155" w:type="dxa"/>
            <w:shd w:val="clear" w:color="auto" w:fill="FFF2CC" w:themeFill="accent4" w:themeFillTint="33"/>
          </w:tcPr>
          <w:p w14:paraId="2A1C81A3" w14:textId="77777777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</w:p>
          <w:p w14:paraId="110D5274" w14:textId="40D7B4D6" w:rsidR="00631539" w:rsidRPr="003076AA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2CC" w:themeFill="accent4" w:themeFillTint="33"/>
          </w:tcPr>
          <w:p w14:paraId="257E1D32" w14:textId="7363D7B3" w:rsidR="00631539" w:rsidRPr="00E04A04" w:rsidRDefault="00631539" w:rsidP="008361F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15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Performance consistently met expectations in all essential areas of </w:t>
            </w:r>
            <w:r w:rsidR="008361F4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t</w:t>
            </w:r>
            <w:r w:rsidR="00832209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he assignment criteria</w:t>
            </w:r>
            <w:r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3153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at times possibly exceeding expectations, and the quality of work overall was very good. The most critical goals were met.</w:t>
            </w:r>
          </w:p>
        </w:tc>
      </w:tr>
      <w:tr w:rsidR="00631539" w:rsidRPr="003076AA" w14:paraId="75A2F6AE" w14:textId="77777777" w:rsidTr="00417A1F">
        <w:tc>
          <w:tcPr>
            <w:tcW w:w="2155" w:type="dxa"/>
            <w:shd w:val="clear" w:color="auto" w:fill="FFF2CC" w:themeFill="accent4" w:themeFillTint="33"/>
          </w:tcPr>
          <w:p w14:paraId="66F2D51F" w14:textId="77777777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Near Expectations</w:t>
            </w:r>
          </w:p>
          <w:p w14:paraId="484CCF63" w14:textId="0A3A9A06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2CC" w:themeFill="accent4" w:themeFillTint="33"/>
          </w:tcPr>
          <w:p w14:paraId="45BCE859" w14:textId="59DFC611" w:rsidR="00631539" w:rsidRDefault="00631539" w:rsidP="00014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Performance did not consistently meet expectations. Performance failed to meet expectations in one or more essential areas of </w:t>
            </w:r>
            <w:r w:rsidR="008361F4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the assignment criteria</w:t>
            </w: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>, one or more of the most critical goals were not met.</w:t>
            </w:r>
          </w:p>
        </w:tc>
      </w:tr>
      <w:tr w:rsidR="00631539" w:rsidRPr="003076AA" w14:paraId="5F6B026C" w14:textId="77777777" w:rsidTr="00417A1F">
        <w:tc>
          <w:tcPr>
            <w:tcW w:w="2155" w:type="dxa"/>
            <w:shd w:val="clear" w:color="auto" w:fill="FFF2CC" w:themeFill="accent4" w:themeFillTint="33"/>
          </w:tcPr>
          <w:p w14:paraId="2557D819" w14:textId="77777777" w:rsidR="00631539" w:rsidRDefault="00631539" w:rsidP="006315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1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Below Expectations</w:t>
            </w:r>
          </w:p>
          <w:p w14:paraId="7E5C4C73" w14:textId="30097C04" w:rsidR="00631539" w:rsidRDefault="00631539" w:rsidP="008217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2CC" w:themeFill="accent4" w:themeFillTint="33"/>
          </w:tcPr>
          <w:p w14:paraId="35EDD43C" w14:textId="66EF13DD" w:rsidR="00631539" w:rsidRDefault="00631539" w:rsidP="000141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Performance was consistently below expectations in most essential areas of </w:t>
            </w:r>
            <w:r w:rsidR="008361F4" w:rsidRPr="008361F4">
              <w:rPr>
                <w:rFonts w:ascii="Times New Roman" w:hAnsi="Times New Roman" w:cs="Times New Roman"/>
                <w:bCs/>
                <w:sz w:val="18"/>
                <w:szCs w:val="18"/>
              </w:rPr>
              <w:t>the assignment criteria</w:t>
            </w:r>
            <w:r w:rsidRPr="00E04A04">
              <w:rPr>
                <w:rFonts w:ascii="Times New Roman" w:hAnsi="Times New Roman" w:cs="Times New Roman"/>
                <w:bCs/>
                <w:sz w:val="18"/>
                <w:szCs w:val="18"/>
              </w:rPr>
              <w:t>, reasonable progress toward critical goals was not made. Significant improvement is needed in one or more important areas.</w:t>
            </w:r>
          </w:p>
        </w:tc>
      </w:tr>
    </w:tbl>
    <w:p w14:paraId="59487216" w14:textId="77777777" w:rsidR="00F4374A" w:rsidRPr="00367670" w:rsidRDefault="00F4374A">
      <w:pPr>
        <w:rPr>
          <w:rFonts w:ascii="Times New Roman" w:hAnsi="Times New Roman" w:cs="Times New Roman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955"/>
        <w:gridCol w:w="1620"/>
        <w:gridCol w:w="1620"/>
        <w:gridCol w:w="1620"/>
        <w:gridCol w:w="900"/>
      </w:tblGrid>
      <w:tr w:rsidR="00530163" w:rsidRPr="003076AA" w14:paraId="14A2E083" w14:textId="77777777" w:rsidTr="00607074">
        <w:trPr>
          <w:trHeight w:val="530"/>
        </w:trPr>
        <w:tc>
          <w:tcPr>
            <w:tcW w:w="3955" w:type="dxa"/>
            <w:shd w:val="clear" w:color="auto" w:fill="FFF2CC" w:themeFill="accent4" w:themeFillTint="33"/>
          </w:tcPr>
          <w:p w14:paraId="4B4D9274" w14:textId="7AB59FAF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8431463" w14:textId="45A5476C" w:rsidR="00530163" w:rsidRDefault="00530163" w:rsidP="008F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Below </w:t>
            </w:r>
            <w:r w:rsidRPr="008F6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Expectations </w:t>
            </w:r>
          </w:p>
          <w:p w14:paraId="55345A16" w14:textId="63B1D5C8" w:rsidR="00530163" w:rsidRPr="00E04A04" w:rsidRDefault="00530163" w:rsidP="00E01C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CCD620C" w14:textId="2108AF6C" w:rsidR="00530163" w:rsidRDefault="00530163" w:rsidP="008F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6B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Near Expectations </w:t>
            </w:r>
          </w:p>
          <w:p w14:paraId="17F8F4D0" w14:textId="5E65B52A" w:rsidR="00530163" w:rsidRPr="00E04A04" w:rsidRDefault="00530163" w:rsidP="00E01C7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E7EE5F1" w14:textId="77777777" w:rsidR="00530163" w:rsidRDefault="00530163" w:rsidP="008F6B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Meets Expectations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011840" w14:textId="78325276" w:rsidR="00530163" w:rsidRPr="00E04A04" w:rsidRDefault="00530163" w:rsidP="008F6B1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5763649" w14:textId="77777777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Earned</w:t>
            </w:r>
          </w:p>
        </w:tc>
      </w:tr>
      <w:tr w:rsidR="00D70FBF" w:rsidRPr="003076AA" w14:paraId="6257FC51" w14:textId="77777777" w:rsidTr="008361F4">
        <w:tc>
          <w:tcPr>
            <w:tcW w:w="3955" w:type="dxa"/>
            <w:shd w:val="clear" w:color="auto" w:fill="auto"/>
          </w:tcPr>
          <w:p w14:paraId="478BAEEC" w14:textId="7DE39341" w:rsidR="00D70FBF" w:rsidRPr="0039457D" w:rsidRDefault="00D70FBF" w:rsidP="00D7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57D">
              <w:rPr>
                <w:rFonts w:ascii="Times New Roman" w:hAnsi="Times New Roman" w:cs="Times New Roman"/>
                <w:sz w:val="20"/>
                <w:szCs w:val="20"/>
              </w:rPr>
              <w:t>Student correctly installs and configures Windows Server, ensuring the server name is appropriate and a complex password for the Administrator account is created.</w:t>
            </w:r>
          </w:p>
        </w:tc>
        <w:tc>
          <w:tcPr>
            <w:tcW w:w="1620" w:type="dxa"/>
            <w:shd w:val="clear" w:color="auto" w:fill="auto"/>
          </w:tcPr>
          <w:p w14:paraId="6287D858" w14:textId="78B0F167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4F61BC11" w14:textId="61E9C4C7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26278176" w14:textId="05783A91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>10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545930" w14:textId="77777777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D92" w:rsidRPr="003076AA" w14:paraId="68DA4753" w14:textId="77777777" w:rsidTr="00D70FBF">
        <w:tc>
          <w:tcPr>
            <w:tcW w:w="3955" w:type="dxa"/>
            <w:shd w:val="clear" w:color="auto" w:fill="auto"/>
          </w:tcPr>
          <w:p w14:paraId="0759B54A" w14:textId="5A563BCF" w:rsidR="00623D92" w:rsidRPr="0039457D" w:rsidRDefault="00623D92" w:rsidP="0062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3"/>
            <w:r w:rsidRPr="0039457D">
              <w:rPr>
                <w:rFonts w:ascii="Times New Roman" w:hAnsi="Times New Roman" w:cs="Times New Roman"/>
                <w:sz w:val="20"/>
                <w:szCs w:val="20"/>
              </w:rPr>
              <w:t xml:space="preserve">Instructional notes and screenshots are well organized and articulated in a manner as required by the assignment requirements and university standards of academic writing (including sentence construction, word choice, spelling, punctuation, grammar, and language use). </w:t>
            </w:r>
          </w:p>
        </w:tc>
        <w:tc>
          <w:tcPr>
            <w:tcW w:w="1620" w:type="dxa"/>
            <w:shd w:val="clear" w:color="auto" w:fill="auto"/>
          </w:tcPr>
          <w:p w14:paraId="178C7961" w14:textId="48EDFA65" w:rsidR="00623D92" w:rsidRPr="0039457D" w:rsidRDefault="00623D92" w:rsidP="00623D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03193923" w14:textId="17DB2510" w:rsidR="00623D92" w:rsidRPr="0039457D" w:rsidRDefault="00623D92" w:rsidP="00623D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79B19E59" w14:textId="4F6B7661" w:rsidR="00623D92" w:rsidRPr="0039457D" w:rsidRDefault="00623D92" w:rsidP="0062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>10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14A3BD" w14:textId="3053D7E5" w:rsidR="00623D92" w:rsidRPr="0039457D" w:rsidRDefault="00623D92" w:rsidP="0062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70FBF" w:rsidRPr="003076AA" w14:paraId="65D63273" w14:textId="77777777" w:rsidTr="008361F4">
        <w:tc>
          <w:tcPr>
            <w:tcW w:w="3955" w:type="dxa"/>
            <w:shd w:val="clear" w:color="auto" w:fill="auto"/>
          </w:tcPr>
          <w:p w14:paraId="5B58CFC8" w14:textId="39416557" w:rsidR="00D70FBF" w:rsidRPr="0039457D" w:rsidRDefault="00D70FBF" w:rsidP="00D7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57D">
              <w:rPr>
                <w:rFonts w:ascii="Times New Roman" w:hAnsi="Times New Roman" w:cs="Times New Roman"/>
                <w:sz w:val="20"/>
                <w:szCs w:val="20"/>
              </w:rPr>
              <w:t>Student comprehensively describes the key aspects of how Windows will fit into the proposed corporate environment with supporting details and rationale.</w:t>
            </w:r>
          </w:p>
        </w:tc>
        <w:tc>
          <w:tcPr>
            <w:tcW w:w="1620" w:type="dxa"/>
            <w:shd w:val="clear" w:color="auto" w:fill="auto"/>
          </w:tcPr>
          <w:p w14:paraId="792809FD" w14:textId="0DD83BBD" w:rsidR="00D70FBF" w:rsidRPr="0039457D" w:rsidRDefault="00D70FBF" w:rsidP="00D70F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1014230D" w14:textId="1A296F3F" w:rsidR="00D70FBF" w:rsidRPr="0039457D" w:rsidRDefault="00D70FBF" w:rsidP="00D70F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6F91722D" w14:textId="319692D1" w:rsidR="00D70FBF" w:rsidRPr="0039457D" w:rsidRDefault="00D70FBF" w:rsidP="00D70F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>10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D61AFD" w14:textId="137DC225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BF" w:rsidRPr="003076AA" w14:paraId="71EB56FD" w14:textId="77777777" w:rsidTr="00D70FBF">
        <w:tc>
          <w:tcPr>
            <w:tcW w:w="3955" w:type="dxa"/>
            <w:shd w:val="clear" w:color="auto" w:fill="auto"/>
          </w:tcPr>
          <w:p w14:paraId="6477A36A" w14:textId="22F8C4DC" w:rsidR="00D70FBF" w:rsidRPr="0039457D" w:rsidRDefault="00D70FBF" w:rsidP="00D70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57D">
              <w:rPr>
                <w:rFonts w:ascii="Times New Roman" w:hAnsi="Times New Roman" w:cs="Times New Roman"/>
                <w:sz w:val="20"/>
                <w:szCs w:val="20"/>
              </w:rPr>
              <w:t>Solutions, answers, or required literature are well organized and articulated in a manner as required by the assignment requirements and university standards of academic writing (including sentence construction, word choice, spelling, punctuation, grammar, and language use). References are accurate.</w:t>
            </w:r>
          </w:p>
        </w:tc>
        <w:tc>
          <w:tcPr>
            <w:tcW w:w="1620" w:type="dxa"/>
            <w:shd w:val="clear" w:color="auto" w:fill="auto"/>
          </w:tcPr>
          <w:p w14:paraId="49B32EEE" w14:textId="5318C08D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72B3077C" w14:textId="45F7C510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pts</w:t>
            </w:r>
          </w:p>
        </w:tc>
        <w:tc>
          <w:tcPr>
            <w:tcW w:w="1620" w:type="dxa"/>
            <w:shd w:val="clear" w:color="auto" w:fill="auto"/>
          </w:tcPr>
          <w:p w14:paraId="4E961D9C" w14:textId="08EAB504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835">
              <w:rPr>
                <w:rFonts w:ascii="Times New Roman" w:eastAsia="Calibri" w:hAnsi="Times New Roman" w:cs="Times New Roman"/>
                <w:sz w:val="20"/>
                <w:szCs w:val="20"/>
              </w:rPr>
              <w:t>5 pts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C0E31C" w14:textId="09919ADF" w:rsidR="00D70FBF" w:rsidRPr="0039457D" w:rsidRDefault="00D70FBF" w:rsidP="00D70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5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0163" w:rsidRPr="003076AA" w14:paraId="51BA8D55" w14:textId="77777777" w:rsidTr="00417A1F">
        <w:tc>
          <w:tcPr>
            <w:tcW w:w="3955" w:type="dxa"/>
            <w:shd w:val="clear" w:color="auto" w:fill="FFF2CC" w:themeFill="accent4" w:themeFillTint="33"/>
          </w:tcPr>
          <w:p w14:paraId="7CDFFDE5" w14:textId="77777777" w:rsidR="00530163" w:rsidRPr="003076AA" w:rsidRDefault="00530163" w:rsidP="00F9755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76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68C51916" w14:textId="77777777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5EC7BF94" w14:textId="77777777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2601789C" w14:textId="12E7B998" w:rsidR="00530163" w:rsidRPr="003076AA" w:rsidRDefault="00530163" w:rsidP="00F975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2C5844A8" w14:textId="2056C319" w:rsidR="00530163" w:rsidRPr="003076AA" w:rsidRDefault="00530163" w:rsidP="00D70F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D70F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23D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F4CEE" w:rsidRPr="003076AA" w14:paraId="64A8D36A" w14:textId="77777777" w:rsidTr="000D5185">
        <w:tc>
          <w:tcPr>
            <w:tcW w:w="9715" w:type="dxa"/>
            <w:gridSpan w:val="5"/>
            <w:shd w:val="clear" w:color="auto" w:fill="FFF2CC" w:themeFill="accent4" w:themeFillTint="33"/>
          </w:tcPr>
          <w:p w14:paraId="2F7EE847" w14:textId="77777777" w:rsidR="002F4CEE" w:rsidRPr="003076AA" w:rsidRDefault="002F4CEE" w:rsidP="005301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Feedback</w:t>
            </w:r>
          </w:p>
          <w:p w14:paraId="3762F45C" w14:textId="1C096546" w:rsidR="002F4CEE" w:rsidRDefault="002F4CEE" w:rsidP="005301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7409CE" w14:textId="77777777" w:rsidR="002F4CEE" w:rsidRDefault="002F4CEE" w:rsidP="005301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CCCE0E0" w14:textId="77777777" w:rsidR="00F4374A" w:rsidRPr="00367670" w:rsidRDefault="00F4374A">
      <w:pPr>
        <w:rPr>
          <w:rFonts w:ascii="Times New Roman" w:hAnsi="Times New Roman" w:cs="Times New Roman"/>
        </w:rPr>
      </w:pPr>
    </w:p>
    <w:sectPr w:rsidR="00F4374A" w:rsidRPr="00367670" w:rsidSect="009E0B9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9F8A" w14:textId="77777777" w:rsidR="00A10938" w:rsidRDefault="00A10938" w:rsidP="00367670">
      <w:r>
        <w:separator/>
      </w:r>
    </w:p>
  </w:endnote>
  <w:endnote w:type="continuationSeparator" w:id="0">
    <w:p w14:paraId="111C0430" w14:textId="77777777" w:rsidR="00A10938" w:rsidRDefault="00A10938" w:rsidP="0036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AA50" w14:textId="2C93E929" w:rsidR="00367670" w:rsidRPr="00367670" w:rsidRDefault="00BE42D0" w:rsidP="00971E85">
    <w:pPr>
      <w:tabs>
        <w:tab w:val="left" w:pos="1323"/>
        <w:tab w:val="center" w:pos="4680"/>
      </w:tabs>
      <w:spacing w:after="200"/>
      <w:jc w:val="center"/>
      <w:rPr>
        <w:rFonts w:ascii="Times New Roman" w:eastAsia="Calibri" w:hAnsi="Times New Roman" w:cs="Times New Roman"/>
        <w:szCs w:val="22"/>
      </w:rPr>
    </w:pPr>
    <w:r>
      <w:rPr>
        <w:rFonts w:ascii="Times New Roman" w:eastAsia="Calibri" w:hAnsi="Times New Roman" w:cs="Times New Roman"/>
        <w:szCs w:val="22"/>
      </w:rPr>
      <w:t>© 2018</w:t>
    </w:r>
    <w:r w:rsidR="00367670" w:rsidRPr="00367670">
      <w:rPr>
        <w:rFonts w:ascii="Times New Roman" w:eastAsia="Calibri" w:hAnsi="Times New Roman" w:cs="Times New Roman"/>
        <w:szCs w:val="22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B4CA8" w14:textId="77777777" w:rsidR="00A10938" w:rsidRDefault="00A10938" w:rsidP="00367670">
      <w:r>
        <w:separator/>
      </w:r>
    </w:p>
  </w:footnote>
  <w:footnote w:type="continuationSeparator" w:id="0">
    <w:p w14:paraId="0CEDAE06" w14:textId="77777777" w:rsidR="00A10938" w:rsidRDefault="00A10938" w:rsidP="0036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B8076" w14:textId="1D3AE9FF" w:rsidR="00367670" w:rsidRDefault="00367670">
    <w:pPr>
      <w:pStyle w:val="Header"/>
    </w:pPr>
    <w:r>
      <w:rPr>
        <w:noProof/>
      </w:rPr>
      <w:drawing>
        <wp:inline distT="0" distB="0" distL="0" distR="0" wp14:anchorId="782F981A" wp14:editId="54EB0DB0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368"/>
    <w:multiLevelType w:val="hybridMultilevel"/>
    <w:tmpl w:val="866A041A"/>
    <w:lvl w:ilvl="0" w:tplc="CCB8382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4A"/>
    <w:rsid w:val="000015FE"/>
    <w:rsid w:val="000F049E"/>
    <w:rsid w:val="001522EA"/>
    <w:rsid w:val="001C5FA2"/>
    <w:rsid w:val="0020766A"/>
    <w:rsid w:val="00273A5A"/>
    <w:rsid w:val="002C1D3C"/>
    <w:rsid w:val="002F4CEE"/>
    <w:rsid w:val="003076AA"/>
    <w:rsid w:val="003414E6"/>
    <w:rsid w:val="00367670"/>
    <w:rsid w:val="00373E34"/>
    <w:rsid w:val="0039457D"/>
    <w:rsid w:val="00417A1F"/>
    <w:rsid w:val="00435D00"/>
    <w:rsid w:val="004F719F"/>
    <w:rsid w:val="00530163"/>
    <w:rsid w:val="00553437"/>
    <w:rsid w:val="00560E24"/>
    <w:rsid w:val="00592DB9"/>
    <w:rsid w:val="00607074"/>
    <w:rsid w:val="00623D92"/>
    <w:rsid w:val="00631539"/>
    <w:rsid w:val="006C1EE5"/>
    <w:rsid w:val="006E3278"/>
    <w:rsid w:val="00821735"/>
    <w:rsid w:val="00832209"/>
    <w:rsid w:val="008361F4"/>
    <w:rsid w:val="00842649"/>
    <w:rsid w:val="008A0D9B"/>
    <w:rsid w:val="008F6B1A"/>
    <w:rsid w:val="00971E85"/>
    <w:rsid w:val="00995624"/>
    <w:rsid w:val="009E0B97"/>
    <w:rsid w:val="00A10938"/>
    <w:rsid w:val="00AE5DF7"/>
    <w:rsid w:val="00BE42D0"/>
    <w:rsid w:val="00D25EDF"/>
    <w:rsid w:val="00D70FBF"/>
    <w:rsid w:val="00DD5096"/>
    <w:rsid w:val="00DD78E2"/>
    <w:rsid w:val="00E01C79"/>
    <w:rsid w:val="00E04A04"/>
    <w:rsid w:val="00E60D30"/>
    <w:rsid w:val="00E60DB7"/>
    <w:rsid w:val="00E90FBF"/>
    <w:rsid w:val="00F4374A"/>
    <w:rsid w:val="00F6678E"/>
    <w:rsid w:val="00F97554"/>
    <w:rsid w:val="00FB1175"/>
    <w:rsid w:val="00F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6A1A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670"/>
  </w:style>
  <w:style w:type="paragraph" w:styleId="Footer">
    <w:name w:val="footer"/>
    <w:basedOn w:val="Normal"/>
    <w:link w:val="FooterChar"/>
    <w:uiPriority w:val="99"/>
    <w:unhideWhenUsed/>
    <w:rsid w:val="00367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670"/>
  </w:style>
  <w:style w:type="character" w:styleId="CommentReference">
    <w:name w:val="annotation reference"/>
    <w:basedOn w:val="DefaultParagraphFont"/>
    <w:uiPriority w:val="99"/>
    <w:semiHidden/>
    <w:unhideWhenUsed/>
    <w:rsid w:val="00AE5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D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F7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8E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78E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8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FEA36FDF-B653-4B3C-8A2C-DDEC1C62041F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30a82cfc-8d0b-455e-b705-4035c60ff9f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9CDA0D-8ACA-4897-8B93-D0EBE9317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BF687-D1AE-4170-BA73-E60789F08E97}"/>
</file>

<file path=customXml/itemProps4.xml><?xml version="1.0" encoding="utf-8"?>
<ds:datastoreItem xmlns:ds="http://schemas.openxmlformats.org/officeDocument/2006/customXml" ds:itemID="{025455A3-D072-431E-906F-D2BA6B9845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85F8D68-50A9-4113-8FB4-05F48761F27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 Artzi</dc:creator>
  <cp:keywords/>
  <dc:description/>
  <cp:lastModifiedBy>Arthur Wilbert (GCE)</cp:lastModifiedBy>
  <cp:revision>18</cp:revision>
  <dcterms:created xsi:type="dcterms:W3CDTF">2017-05-19T14:10:00Z</dcterms:created>
  <dcterms:modified xsi:type="dcterms:W3CDTF">2018-11-06T15:04:00Z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Department">
    <vt:lpwstr>3;#Academic Program and Course Development|59abafec-cbf5-4238-a796-a3b74278f4db</vt:lpwstr>
  </property>
  <property fmtid="{D5CDD505-2E9C-101B-9397-08002B2CF9AE}" pid="4" name="TaxKeyword">
    <vt:lpwstr/>
  </property>
  <property fmtid="{D5CDD505-2E9C-101B-9397-08002B2CF9AE}" pid="5" name="DocumentBusinessValue">
    <vt:lpwstr>1;#Normal|581d4866-74cc-43f1-bef1-bb304cbfeaa5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tatus">
    <vt:lpwstr/>
  </property>
  <property fmtid="{D5CDD505-2E9C-101B-9397-08002B2CF9AE}" pid="8" name="DocumentSubject">
    <vt:lpwstr/>
  </property>
  <property fmtid="{D5CDD505-2E9C-101B-9397-08002B2CF9AE}" pid="9" name="DocumentType">
    <vt:lpwstr/>
  </property>
  <property fmtid="{D5CDD505-2E9C-101B-9397-08002B2CF9AE}" pid="10" name="DocumentCategory">
    <vt:lpwstr/>
  </property>
  <property fmtid="{D5CDD505-2E9C-101B-9397-08002B2CF9AE}" pid="11" name="Order">
    <vt:r8>1078000</vt:r8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